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DA" w:rsidRPr="00F56194" w:rsidRDefault="006039DA" w:rsidP="00F56194">
      <w:pPr>
        <w:spacing w:after="0" w:line="540" w:lineRule="atLeast"/>
        <w:jc w:val="center"/>
        <w:textAlignment w:val="baseline"/>
        <w:outlineLvl w:val="0"/>
        <w:rPr>
          <w:rFonts w:eastAsia="Times New Roman" w:cs="Arial"/>
          <w:b/>
          <w:bCs/>
          <w:color w:val="000000"/>
          <w:kern w:val="36"/>
          <w:sz w:val="36"/>
          <w:szCs w:val="36"/>
          <w:lang w:val="uk-UA" w:eastAsia="ru-RU"/>
        </w:rPr>
      </w:pPr>
      <w:r w:rsidRPr="00F56194">
        <w:rPr>
          <w:rFonts w:eastAsia="Times New Roman" w:cs="Arial"/>
          <w:b/>
          <w:bCs/>
          <w:color w:val="000000"/>
          <w:kern w:val="36"/>
          <w:sz w:val="36"/>
          <w:szCs w:val="36"/>
          <w:lang w:val="uk-UA" w:eastAsia="ru-RU"/>
        </w:rPr>
        <w:t xml:space="preserve">Протидія </w:t>
      </w:r>
      <w:proofErr w:type="spellStart"/>
      <w:r w:rsidRPr="00F56194">
        <w:rPr>
          <w:rFonts w:eastAsia="Times New Roman" w:cs="Arial"/>
          <w:b/>
          <w:bCs/>
          <w:color w:val="000000"/>
          <w:kern w:val="36"/>
          <w:sz w:val="36"/>
          <w:szCs w:val="36"/>
          <w:lang w:val="uk-UA" w:eastAsia="ru-RU"/>
        </w:rPr>
        <w:t>булінгу</w:t>
      </w:r>
      <w:proofErr w:type="spellEnd"/>
      <w:r w:rsidRPr="00F56194">
        <w:rPr>
          <w:rFonts w:eastAsia="Times New Roman" w:cs="Arial"/>
          <w:b/>
          <w:bCs/>
          <w:color w:val="000000"/>
          <w:kern w:val="36"/>
          <w:sz w:val="36"/>
          <w:szCs w:val="36"/>
          <w:lang w:val="uk-UA" w:eastAsia="ru-RU"/>
        </w:rPr>
        <w:t xml:space="preserve"> в закладі освіти: хто що робить</w:t>
      </w:r>
    </w:p>
    <w:p w:rsidR="006039DA" w:rsidRPr="00F56194" w:rsidRDefault="006039DA" w:rsidP="00F56194">
      <w:pPr>
        <w:shd w:val="clear" w:color="auto" w:fill="FFFFFF"/>
        <w:spacing w:after="165" w:line="480" w:lineRule="atLeast"/>
        <w:jc w:val="center"/>
        <w:textAlignment w:val="baseline"/>
        <w:outlineLvl w:val="2"/>
        <w:rPr>
          <w:rFonts w:eastAsia="Times New Roman" w:cs="Arial"/>
          <w:b/>
          <w:bCs/>
          <w:color w:val="000000"/>
          <w:sz w:val="30"/>
          <w:szCs w:val="30"/>
          <w:lang w:val="uk-UA" w:eastAsia="ru-RU"/>
        </w:rPr>
      </w:pPr>
    </w:p>
    <w:p w:rsidR="006039DA" w:rsidRPr="00473902" w:rsidRDefault="006039DA" w:rsidP="006039DA">
      <w:pPr>
        <w:shd w:val="clear" w:color="auto" w:fill="FFFFFF"/>
        <w:spacing w:after="165" w:line="480" w:lineRule="atLeast"/>
        <w:ind w:left="2127" w:hanging="2127"/>
        <w:textAlignment w:val="baseline"/>
        <w:outlineLvl w:val="2"/>
        <w:rPr>
          <w:rFonts w:ascii="Georgia" w:eastAsia="Times New Roman" w:hAnsi="Georgia" w:cs="Arial"/>
          <w:b/>
          <w:bCs/>
          <w:color w:val="000000"/>
          <w:sz w:val="30"/>
          <w:szCs w:val="30"/>
          <w:lang w:eastAsia="ru-RU"/>
        </w:rPr>
      </w:pPr>
      <w:r w:rsidRPr="00B33D6A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72000" cy="972000"/>
            <wp:effectExtent l="0" t="0" r="0" b="0"/>
            <wp:wrapSquare wrapText="bothSides"/>
            <wp:docPr id="6" name="Рисунок 6" descr="https://e.profkiosk.ru/service_tbn2/lmq26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lmq26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 xml:space="preserve">           </w:t>
      </w:r>
      <w:r w:rsidRPr="00473902">
        <w:rPr>
          <w:rFonts w:ascii="Georgia" w:eastAsia="Times New Roman" w:hAnsi="Georgia" w:cs="Arial"/>
          <w:b/>
          <w:bCs/>
          <w:color w:val="000000"/>
          <w:sz w:val="30"/>
          <w:szCs w:val="30"/>
          <w:lang w:eastAsia="ru-RU"/>
        </w:rPr>
        <w:t>ЗАСНОВНИК ЗАКЛАДУ ОСВІТИ</w:t>
      </w:r>
    </w:p>
    <w:p w:rsidR="006039DA" w:rsidRPr="001B4BB4" w:rsidRDefault="006039DA" w:rsidP="00AB78BD">
      <w:pPr>
        <w:shd w:val="clear" w:color="auto" w:fill="FFFFFF"/>
        <w:spacing w:after="0" w:line="420" w:lineRule="atLeast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Контролює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виконання плану заходів, спрямованих на запобігання та протидію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(цькуванню) в закладі освіти.</w:t>
      </w:r>
    </w:p>
    <w:p w:rsidR="006039DA" w:rsidRPr="001B4BB4" w:rsidRDefault="006039DA" w:rsidP="00AB78BD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Розглядає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скарги про відмову у реагуванні на випадки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 за заявами здобувачів освіти, їхніх батьків, законних представників, інших осіб і ухвалює рішення за результатами розгляду таких скарг.</w:t>
      </w:r>
    </w:p>
    <w:p w:rsidR="006039DA" w:rsidRPr="001B4BB4" w:rsidRDefault="006039DA" w:rsidP="00AB78BD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Сприяє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 створенню безпечного освітнього середовища в закладі освіти.</w:t>
      </w:r>
    </w:p>
    <w:p w:rsidR="006039DA" w:rsidRPr="001B4BB4" w:rsidRDefault="006039DA" w:rsidP="00AB78BD">
      <w:pPr>
        <w:shd w:val="clear" w:color="auto" w:fill="FFFFFF"/>
        <w:spacing w:line="420" w:lineRule="atLeast"/>
        <w:ind w:firstLine="567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Вживає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 заходів для надання соціальних і психолого-педагогічних послуг здобувачам освіти, які: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 xml:space="preserve">      • вчинили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(цькування);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 xml:space="preserve">      • стали свідками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;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 xml:space="preserve">      • постраждали від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.</w:t>
      </w:r>
    </w:p>
    <w:p w:rsidR="006039DA" w:rsidRPr="006039DA" w:rsidRDefault="001B4BB4" w:rsidP="006039DA">
      <w:pPr>
        <w:shd w:val="clear" w:color="auto" w:fill="FFFFFF"/>
        <w:tabs>
          <w:tab w:val="left" w:pos="1605"/>
        </w:tabs>
        <w:spacing w:after="165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  <w:r w:rsidRPr="00B33D6A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70528" behindDoc="1" locked="0" layoutInCell="1" allowOverlap="1" wp14:anchorId="6321594F" wp14:editId="116C07B7">
            <wp:simplePos x="0" y="0"/>
            <wp:positionH relativeFrom="margin">
              <wp:posOffset>-247650</wp:posOffset>
            </wp:positionH>
            <wp:positionV relativeFrom="margin">
              <wp:posOffset>4890135</wp:posOffset>
            </wp:positionV>
            <wp:extent cx="1223645" cy="1214120"/>
            <wp:effectExtent l="0" t="0" r="0" b="5080"/>
            <wp:wrapTight wrapText="bothSides">
              <wp:wrapPolygon edited="0">
                <wp:start x="7398" y="0"/>
                <wp:lineTo x="5380" y="678"/>
                <wp:lineTo x="336" y="4406"/>
                <wp:lineTo x="0" y="7795"/>
                <wp:lineTo x="0" y="14234"/>
                <wp:lineTo x="673" y="17285"/>
                <wp:lineTo x="6053" y="21351"/>
                <wp:lineTo x="7398" y="21351"/>
                <wp:lineTo x="13787" y="21351"/>
                <wp:lineTo x="15132" y="21351"/>
                <wp:lineTo x="20513" y="17285"/>
                <wp:lineTo x="21185" y="14234"/>
                <wp:lineTo x="21185" y="7795"/>
                <wp:lineTo x="20849" y="4406"/>
                <wp:lineTo x="16141" y="1017"/>
                <wp:lineTo x="13787" y="0"/>
                <wp:lineTo x="7398" y="0"/>
              </wp:wrapPolygon>
            </wp:wrapTight>
            <wp:docPr id="1" name="Рисунок 1" descr="https://e.profkiosk.ru/service_tbn2/-fic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-fic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039DA" w:rsidRPr="00473902" w:rsidRDefault="006039DA" w:rsidP="006039DA">
      <w:pPr>
        <w:shd w:val="clear" w:color="auto" w:fill="FFFFFF"/>
        <w:spacing w:after="165" w:line="48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000000"/>
          <w:sz w:val="30"/>
          <w:szCs w:val="30"/>
          <w:lang w:val="uk-UA" w:eastAsia="ru-RU"/>
        </w:rPr>
      </w:pPr>
      <w:r w:rsidRPr="008B0B32"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 xml:space="preserve"> </w:t>
      </w:r>
      <w:r w:rsidR="001B4BB4"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 xml:space="preserve">    </w:t>
      </w:r>
      <w:r w:rsidRPr="00473902">
        <w:rPr>
          <w:rFonts w:ascii="Georgia" w:eastAsia="Times New Roman" w:hAnsi="Georgia" w:cs="Arial"/>
          <w:b/>
          <w:bCs/>
          <w:color w:val="000000"/>
          <w:sz w:val="30"/>
          <w:szCs w:val="30"/>
          <w:lang w:val="uk-UA" w:eastAsia="ru-RU"/>
        </w:rPr>
        <w:t>КЕРІВНИК ЗАКЛАДУ ОСВІТИ</w:t>
      </w:r>
    </w:p>
    <w:p w:rsidR="006039DA" w:rsidRPr="008B0B32" w:rsidRDefault="006039DA" w:rsidP="006039DA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6039DA" w:rsidRPr="001B4BB4" w:rsidRDefault="006039DA" w:rsidP="00AB78BD">
      <w:pPr>
        <w:shd w:val="clear" w:color="auto" w:fill="FFFFFF"/>
        <w:spacing w:after="0" w:line="420" w:lineRule="atLeast"/>
        <w:ind w:firstLine="567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Забезпечує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 створення у закладі освіти безпечного освітнього середовища, вільного від насильства та 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(цькування), зокрема з урахуванням пропозицій: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>      • територіальних органів (підрозділів) Національної поліції України;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>      • центрального органу виконавчої влади, що забезпечує формування та реалізує державну політику у сфері охорони здоров’я;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>      • головного органу у системі центральних органів виконавчої влади, що забезпечує формування та реалізує державну правову політику;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>      • служб у справах дітей і центрів соціальних служб для сім’ї, дітей та молоді.</w:t>
      </w:r>
    </w:p>
    <w:p w:rsidR="006039DA" w:rsidRPr="001B4BB4" w:rsidRDefault="006039DA" w:rsidP="00140415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Розробляє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, затверджує та оприлюднює план заходів, спрямованих на запобігання та протидію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(цькуванню) в закладі освіти.</w:t>
      </w:r>
    </w:p>
    <w:p w:rsidR="006039DA" w:rsidRPr="001B4BB4" w:rsidRDefault="006039DA" w:rsidP="00140415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lastRenderedPageBreak/>
        <w:t>Розглядає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заяви про випадки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 здобувачів освіти, їхніх батьків, законних представників, інших осіб та видає рішення про проведення розслідування.</w:t>
      </w:r>
    </w:p>
    <w:p w:rsidR="006039DA" w:rsidRPr="001B4BB4" w:rsidRDefault="006039DA" w:rsidP="00140415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Скликає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засідання комісії з розгляду випадків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(цькування), аби прийняти рішення за результатами проведеного розслідування, та вживає відповідних заходів реагування.</w:t>
      </w:r>
    </w:p>
    <w:p w:rsidR="006039DA" w:rsidRPr="001B4BB4" w:rsidRDefault="006039DA" w:rsidP="00140415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Забезпечує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виконання заходів для надання соціальних і психолого-педагогічних послуг здобувачам освіти, які вчинили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, стали його свідками або постраждали від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(цькування).</w:t>
      </w:r>
    </w:p>
    <w:p w:rsidR="006039DA" w:rsidRPr="001B4BB4" w:rsidRDefault="006039DA" w:rsidP="00140415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Повідомляє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уповноваженим підрозділам органів Національної поліції України та службі у справах дітей про випадки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 в закладі освіти.</w:t>
      </w:r>
    </w:p>
    <w:p w:rsidR="006039DA" w:rsidRPr="001B4BB4" w:rsidRDefault="006039DA" w:rsidP="006039DA">
      <w:pPr>
        <w:shd w:val="clear" w:color="auto" w:fill="FFFFFF"/>
        <w:spacing w:line="420" w:lineRule="atLeast"/>
        <w:ind w:firstLine="567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Забезпечує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 на сайті закладу доступ до: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 xml:space="preserve">      • плану заходів, спрямованих на запобігання та протидію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(цькуванню) в закладі освіти;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 xml:space="preserve">      • порядку подання та розгляду (з дотриманням конфіденційності) заяв про випадки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 в закладі освіти;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 xml:space="preserve">      • порядку реагування на доведені випадки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 в закладі освіти та відповідальність осіб, причетних до 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(цькування).</w:t>
      </w:r>
    </w:p>
    <w:p w:rsidR="00BB74BF" w:rsidRPr="001B4BB4" w:rsidRDefault="001B4BB4" w:rsidP="006039DA">
      <w:pPr>
        <w:shd w:val="clear" w:color="auto" w:fill="FFFFFF"/>
        <w:spacing w:after="165" w:line="48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000000"/>
          <w:sz w:val="26"/>
          <w:szCs w:val="26"/>
          <w:lang w:val="uk-UA" w:eastAsia="ru-RU"/>
        </w:rPr>
      </w:pPr>
      <w:r w:rsidRPr="00B33D6A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8480" behindDoc="0" locked="0" layoutInCell="1" allowOverlap="1" wp14:anchorId="3BE273D6" wp14:editId="7982BA25">
            <wp:simplePos x="0" y="0"/>
            <wp:positionH relativeFrom="margin">
              <wp:posOffset>-76200</wp:posOffset>
            </wp:positionH>
            <wp:positionV relativeFrom="margin">
              <wp:posOffset>5562600</wp:posOffset>
            </wp:positionV>
            <wp:extent cx="1007745" cy="1007745"/>
            <wp:effectExtent l="0" t="0" r="1905" b="1905"/>
            <wp:wrapSquare wrapText="bothSides"/>
            <wp:docPr id="8" name="Рисунок 8" descr="https://e.profkiosk.ru/service_tbn2/6vyt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6vytr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9DA"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lang w:val="uk-UA" w:eastAsia="ru-RU"/>
        </w:rPr>
        <w:t xml:space="preserve">                                                             </w:t>
      </w:r>
      <w:r w:rsidR="00BB74BF"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lang w:val="uk-UA" w:eastAsia="ru-RU"/>
        </w:rPr>
        <w:t xml:space="preserve"> </w:t>
      </w:r>
    </w:p>
    <w:p w:rsidR="001B4BB4" w:rsidRDefault="001B4BB4" w:rsidP="006039DA">
      <w:pPr>
        <w:shd w:val="clear" w:color="auto" w:fill="FFFFFF"/>
        <w:spacing w:after="165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6039DA" w:rsidRPr="00473902" w:rsidRDefault="001B4BB4" w:rsidP="006039DA">
      <w:pPr>
        <w:shd w:val="clear" w:color="auto" w:fill="FFFFFF"/>
        <w:spacing w:after="165" w:line="48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000000"/>
          <w:sz w:val="30"/>
          <w:szCs w:val="30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 xml:space="preserve">   </w:t>
      </w:r>
      <w:r w:rsidR="006039DA" w:rsidRPr="00473902">
        <w:rPr>
          <w:rFonts w:ascii="Georgia" w:eastAsia="Times New Roman" w:hAnsi="Georgia" w:cs="Arial"/>
          <w:b/>
          <w:bCs/>
          <w:color w:val="000000"/>
          <w:sz w:val="30"/>
          <w:szCs w:val="30"/>
          <w:lang w:val="uk-UA" w:eastAsia="ru-RU"/>
        </w:rPr>
        <w:t>ЗДОБУВАЧІ ОСВІТИ</w:t>
      </w:r>
    </w:p>
    <w:p w:rsidR="006039DA" w:rsidRPr="001B4BB4" w:rsidRDefault="006039DA" w:rsidP="006039DA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Мають право: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 xml:space="preserve">      • на захист під час освітнього процесу від приниження честі та гідності, будь-яких форм насильства та експлуатації,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(цькування), дискримінації за будь-якою ознакою, пропаганди та агітації, що завдають шкоди здоров’ю здобувача освіти;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 xml:space="preserve">      • отримання соціальних і психолого-педагогічних послуг як особа, яка постраждала від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(цькування), стала його свідком або вчинила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(цькування).</w:t>
      </w:r>
    </w:p>
    <w:p w:rsidR="006039DA" w:rsidRPr="001B4BB4" w:rsidRDefault="006039DA" w:rsidP="00140415">
      <w:pPr>
        <w:shd w:val="clear" w:color="auto" w:fill="FFFFFF"/>
        <w:spacing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Зобов’язані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повідомляти керівництво закладу освіти про факти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 стосовно здобувачів освіти, педагогів, інших осіб, які залучаються до освітнього процесу, свідком яких вони були особисто або про які отримали достовірну інформацію від інших осіб.</w:t>
      </w:r>
    </w:p>
    <w:p w:rsidR="001B4BB4" w:rsidRDefault="00BB74BF" w:rsidP="00BB74BF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  <w:r w:rsidRPr="00B33D6A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55245</wp:posOffset>
            </wp:positionV>
            <wp:extent cx="1295400" cy="1295400"/>
            <wp:effectExtent l="0" t="0" r="0" b="0"/>
            <wp:wrapSquare wrapText="bothSides"/>
            <wp:docPr id="9" name="Рисунок 9" descr="https://e.profkiosk.ru/service_tbn2/14xlw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.profkiosk.ru/service_tbn2/14xlw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 xml:space="preserve">      </w:t>
      </w:r>
    </w:p>
    <w:p w:rsidR="006039DA" w:rsidRPr="00473902" w:rsidRDefault="001B4BB4" w:rsidP="00BB74BF">
      <w:pPr>
        <w:shd w:val="clear" w:color="auto" w:fill="FFFFFF"/>
        <w:spacing w:line="420" w:lineRule="atLeast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 xml:space="preserve">      </w:t>
      </w:r>
      <w:r w:rsidR="006039DA" w:rsidRPr="00473902">
        <w:rPr>
          <w:rFonts w:ascii="Georgia" w:eastAsia="Times New Roman" w:hAnsi="Georgia" w:cs="Arial"/>
          <w:b/>
          <w:bCs/>
          <w:color w:val="000000"/>
          <w:sz w:val="30"/>
          <w:szCs w:val="30"/>
          <w:lang w:val="uk-UA" w:eastAsia="ru-RU"/>
        </w:rPr>
        <w:t>ПЕДАГОГИ</w:t>
      </w:r>
    </w:p>
    <w:p w:rsidR="00BB74BF" w:rsidRDefault="00BB74BF" w:rsidP="006039DA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6039DA" w:rsidRPr="001B4BB4" w:rsidRDefault="00140415" w:rsidP="00BB74BF">
      <w:pPr>
        <w:shd w:val="clear" w:color="auto" w:fill="FFFFFF"/>
        <w:spacing w:after="0" w:line="420" w:lineRule="atLeast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</w:t>
      </w:r>
      <w:r w:rsidR="006039DA"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Мають право</w:t>
      </w:r>
      <w:r w:rsidR="006039DA"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на захист під час освітнього процесу від будь-яких форм насильства та експлуатації, зокрема </w:t>
      </w:r>
      <w:proofErr w:type="spellStart"/>
      <w:r w:rsidR="006039DA"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="006039DA"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(цькування), дискримінації за будь-якою ознакою, від пропаганди та агітації, що завдають шкоди здоров’ю.</w:t>
      </w:r>
    </w:p>
    <w:p w:rsidR="006039DA" w:rsidRPr="001B4BB4" w:rsidRDefault="006039DA" w:rsidP="00140415">
      <w:pPr>
        <w:shd w:val="clear" w:color="auto" w:fill="FFFFFF"/>
        <w:spacing w:line="420" w:lineRule="atLeast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Зобов’язані</w:t>
      </w:r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 повідомляти керівництво закладу освіти про факти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 стосовно здобувачів освіти, педагогів, інших осіб, які залучаються до освітнього процесу, свідком якого вони були особисто або інформацію про які отримали від інших осіб, вживати невідкладних заходів для припинення </w:t>
      </w:r>
      <w:proofErr w:type="spellStart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(цькування).</w:t>
      </w:r>
    </w:p>
    <w:p w:rsidR="00BB74BF" w:rsidRPr="00B33D6A" w:rsidRDefault="00BB74BF" w:rsidP="006039DA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B4BB4" w:rsidRDefault="001B4BB4" w:rsidP="00BB74BF">
      <w:pPr>
        <w:shd w:val="clear" w:color="auto" w:fill="FFFFFF"/>
        <w:spacing w:after="165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  <w:r w:rsidRPr="00B33D6A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72576" behindDoc="0" locked="0" layoutInCell="1" allowOverlap="1" wp14:anchorId="1B68A9E5" wp14:editId="194A85B1">
            <wp:simplePos x="0" y="0"/>
            <wp:positionH relativeFrom="column">
              <wp:posOffset>205740</wp:posOffset>
            </wp:positionH>
            <wp:positionV relativeFrom="paragraph">
              <wp:posOffset>260985</wp:posOffset>
            </wp:positionV>
            <wp:extent cx="1133475" cy="1133475"/>
            <wp:effectExtent l="0" t="0" r="9525" b="9525"/>
            <wp:wrapSquare wrapText="bothSides"/>
            <wp:docPr id="10" name="Рисунок 10" descr="https://e.profkiosk.ru/service_tbn2/x4he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.profkiosk.ru/service_tbn2/x4heh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BF"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 xml:space="preserve">  </w:t>
      </w:r>
    </w:p>
    <w:p w:rsidR="00F56194" w:rsidRDefault="00F56194" w:rsidP="00BB74BF">
      <w:pPr>
        <w:shd w:val="clear" w:color="auto" w:fill="FFFFFF"/>
        <w:spacing w:after="165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6039DA" w:rsidRPr="00473902" w:rsidRDefault="00F56194" w:rsidP="00BB74BF">
      <w:pPr>
        <w:shd w:val="clear" w:color="auto" w:fill="FFFFFF"/>
        <w:spacing w:after="165" w:line="48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000000"/>
          <w:sz w:val="30"/>
          <w:szCs w:val="30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 xml:space="preserve">  </w:t>
      </w:r>
      <w:r w:rsidR="006039DA" w:rsidRPr="00473902">
        <w:rPr>
          <w:rFonts w:ascii="Georgia" w:eastAsia="Times New Roman" w:hAnsi="Georgia" w:cs="Arial"/>
          <w:b/>
          <w:bCs/>
          <w:color w:val="000000"/>
          <w:sz w:val="30"/>
          <w:szCs w:val="30"/>
          <w:lang w:val="uk-UA" w:eastAsia="ru-RU"/>
        </w:rPr>
        <w:t>БАТЬКИ</w:t>
      </w:r>
    </w:p>
    <w:p w:rsidR="006039DA" w:rsidRPr="001B4BB4" w:rsidRDefault="00F56194" w:rsidP="000873B5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Arial"/>
          <w:sz w:val="26"/>
          <w:szCs w:val="26"/>
          <w:lang w:val="uk-UA" w:eastAsia="ru-RU"/>
        </w:rPr>
      </w:pPr>
      <w:r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 </w:t>
      </w:r>
      <w:r w:rsidR="006039DA" w:rsidRPr="001B4BB4">
        <w:rPr>
          <w:rFonts w:ascii="Georgia" w:eastAsia="Times New Roman" w:hAnsi="Georgia" w:cs="Arial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Мають право:</w:t>
      </w:r>
      <w:r w:rsidR="006039DA"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br/>
        <w:t>     </w:t>
      </w:r>
      <w:r w:rsid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</w:t>
      </w:r>
      <w:r w:rsidR="006039DA" w:rsidRPr="001B4BB4">
        <w:rPr>
          <w:rFonts w:ascii="Georgia" w:eastAsia="Times New Roman" w:hAnsi="Georgia" w:cs="Arial"/>
          <w:color w:val="000000"/>
          <w:sz w:val="26"/>
          <w:szCs w:val="26"/>
          <w:lang w:val="uk-UA" w:eastAsia="ru-RU"/>
        </w:rPr>
        <w:t xml:space="preserve"> • </w:t>
      </w:r>
      <w:r w:rsidR="006039DA"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отримувати інформацію щодо надання соціальних і психолого-педагогічних послуг особам, які постраждали від </w:t>
      </w:r>
      <w:proofErr w:type="spellStart"/>
      <w:r w:rsidR="006039DA"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>булінгу</w:t>
      </w:r>
      <w:proofErr w:type="spellEnd"/>
      <w:r w:rsidR="006039DA"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 (цькування), стали його свідками або вчинили </w:t>
      </w:r>
      <w:proofErr w:type="spellStart"/>
      <w:r w:rsidR="006039DA"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>булінг</w:t>
      </w:r>
      <w:proofErr w:type="spellEnd"/>
      <w:r w:rsidR="006039DA"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 (цькування);</w:t>
      </w:r>
      <w:r w:rsidR="006039DA"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br/>
        <w:t xml:space="preserve">      • вимагати повного та неупередженого розслідування випадків </w:t>
      </w:r>
      <w:proofErr w:type="spellStart"/>
      <w:r w:rsidR="006039DA"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>булінгу</w:t>
      </w:r>
      <w:proofErr w:type="spellEnd"/>
      <w:r w:rsidR="006039DA"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 (цькування) стосовно дитини або будь-якого іншого учасника освітнього процесу.</w:t>
      </w:r>
    </w:p>
    <w:p w:rsidR="006039DA" w:rsidRPr="001B4BB4" w:rsidRDefault="006039DA" w:rsidP="00AB78BD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sz w:val="26"/>
          <w:szCs w:val="26"/>
          <w:bdr w:val="none" w:sz="0" w:space="0" w:color="auto" w:frame="1"/>
          <w:lang w:val="uk-UA" w:eastAsia="ru-RU"/>
        </w:rPr>
        <w:t>Подають</w:t>
      </w:r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 керівництву або засновнику закладу освіти заяву про випадки </w:t>
      </w:r>
      <w:proofErr w:type="spellStart"/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 (цькування) стосовно дитини або будь-якого іншого учасника освітнього процесу.</w:t>
      </w:r>
    </w:p>
    <w:p w:rsidR="006039DA" w:rsidRPr="001B4BB4" w:rsidRDefault="006039DA" w:rsidP="00AB78BD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Georgia" w:eastAsia="Times New Roman" w:hAnsi="Georgia" w:cs="Arial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sz w:val="26"/>
          <w:szCs w:val="26"/>
          <w:bdr w:val="none" w:sz="0" w:space="0" w:color="auto" w:frame="1"/>
          <w:lang w:val="uk-UA" w:eastAsia="ru-RU"/>
        </w:rPr>
        <w:t>Сприяють</w:t>
      </w:r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 у проведенні розслідування щодо випадків </w:t>
      </w:r>
      <w:proofErr w:type="spellStart"/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 (цькування).</w:t>
      </w:r>
    </w:p>
    <w:p w:rsidR="006039DA" w:rsidRPr="001B4BB4" w:rsidRDefault="006039DA" w:rsidP="00AB78BD">
      <w:pPr>
        <w:shd w:val="clear" w:color="auto" w:fill="FFFFFF"/>
        <w:spacing w:line="420" w:lineRule="atLeast"/>
        <w:ind w:firstLine="567"/>
        <w:jc w:val="both"/>
        <w:textAlignment w:val="baseline"/>
        <w:rPr>
          <w:rFonts w:ascii="Georgia" w:eastAsia="Times New Roman" w:hAnsi="Georgia" w:cs="Arial"/>
          <w:sz w:val="26"/>
          <w:szCs w:val="26"/>
          <w:lang w:val="uk-UA" w:eastAsia="ru-RU"/>
        </w:rPr>
      </w:pPr>
      <w:r w:rsidRPr="001B4BB4">
        <w:rPr>
          <w:rFonts w:ascii="Georgia" w:eastAsia="Times New Roman" w:hAnsi="Georgia" w:cs="Arial"/>
          <w:b/>
          <w:bCs/>
          <w:sz w:val="26"/>
          <w:szCs w:val="26"/>
          <w:bdr w:val="none" w:sz="0" w:space="0" w:color="auto" w:frame="1"/>
          <w:lang w:val="uk-UA" w:eastAsia="ru-RU"/>
        </w:rPr>
        <w:t>Виконують</w:t>
      </w:r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> рішення та рекомендац</w:t>
      </w:r>
      <w:bookmarkStart w:id="0" w:name="_GoBack"/>
      <w:bookmarkEnd w:id="0"/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ії комісії з розгляду випадків </w:t>
      </w:r>
      <w:proofErr w:type="spellStart"/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>булінгу</w:t>
      </w:r>
      <w:proofErr w:type="spellEnd"/>
      <w:r w:rsidRPr="001B4BB4">
        <w:rPr>
          <w:rFonts w:ascii="Georgia" w:eastAsia="Times New Roman" w:hAnsi="Georgia" w:cs="Arial"/>
          <w:sz w:val="26"/>
          <w:szCs w:val="26"/>
          <w:lang w:val="uk-UA" w:eastAsia="ru-RU"/>
        </w:rPr>
        <w:t xml:space="preserve"> (цькування) в закладі освіти.</w:t>
      </w:r>
    </w:p>
    <w:p w:rsidR="006039DA" w:rsidRPr="008B0B32" w:rsidRDefault="006039DA" w:rsidP="006039DA">
      <w:pPr>
        <w:tabs>
          <w:tab w:val="left" w:pos="7797"/>
        </w:tabs>
        <w:rPr>
          <w:sz w:val="28"/>
          <w:szCs w:val="28"/>
          <w:lang w:val="uk-UA"/>
        </w:rPr>
      </w:pPr>
    </w:p>
    <w:p w:rsidR="006039DA" w:rsidRPr="008B0B32" w:rsidRDefault="006039DA" w:rsidP="006039DA">
      <w:pPr>
        <w:tabs>
          <w:tab w:val="left" w:pos="7797"/>
        </w:tabs>
        <w:rPr>
          <w:sz w:val="28"/>
          <w:szCs w:val="28"/>
          <w:lang w:val="uk-UA"/>
        </w:rPr>
      </w:pPr>
    </w:p>
    <w:sectPr w:rsidR="006039DA" w:rsidRPr="008B0B32" w:rsidSect="001B4BB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E"/>
    <w:rsid w:val="000873B5"/>
    <w:rsid w:val="00140415"/>
    <w:rsid w:val="001B4BB4"/>
    <w:rsid w:val="0047290E"/>
    <w:rsid w:val="00473902"/>
    <w:rsid w:val="006039DA"/>
    <w:rsid w:val="00787073"/>
    <w:rsid w:val="00AB78BD"/>
    <w:rsid w:val="00BB74BF"/>
    <w:rsid w:val="00DF3B0D"/>
    <w:rsid w:val="00ED335A"/>
    <w:rsid w:val="00F5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F1BCE-715D-4430-AC4A-68C849BE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2019-03-17T21:05:00Z</dcterms:created>
  <dcterms:modified xsi:type="dcterms:W3CDTF">2019-12-26T22:42:00Z</dcterms:modified>
</cp:coreProperties>
</file>